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/>
          <w:pgMar w:bottom="1440" w:top="1440" w:left="1440" w:right="1440" w:header="708" w:footer="708"/>
          <w:pgNumType w:start="1"/>
          <w:cols w:equalWidth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/>
      <w:pgMar w:bottom="1440" w:top="1440" w:left="1440" w:right="1440" w:header="708" w:footer="708"/>
      <w:cols w:equalWidth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RM6169 Corporate Finance Services 2</w:t>
      <w:tab/>
      <w:t xml:space="preserve">                                           </w:t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1ud00nYz3M1pCcv7qD3HeNTjPQ==">AMUW2mWXcXnxM+PPo9g50EnBWA21x1k7kAoVC1IOohkft2TNuTnWmqzLq5lOHVD3nVZX2dryf7KjvLENJ1hIvvw3+tze2dwQNyONnMkW1O7k4Oanlb6VIabZfBXz7p4GWHR2sSk5Pbl2h1WXdYgUKejhTUeIlMVbBw==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